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710"/>
        <w:gridCol w:w="1015"/>
        <w:gridCol w:w="1111"/>
        <w:gridCol w:w="3369"/>
      </w:tblGrid>
      <w:tr w:rsidR="00913DF8" w:rsidTr="00D35D87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1836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015" w:type="dxa"/>
          </w:tcPr>
          <w:p w:rsidR="00913DF8" w:rsidRPr="00327BA2" w:rsidRDefault="00AE3D41" w:rsidP="00D35D8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="00D35D87">
              <w:rPr>
                <w:rFonts w:hint="cs"/>
                <w:sz w:val="28"/>
                <w:szCs w:val="28"/>
                <w:rtl/>
              </w:rPr>
              <w:t>لثاني</w:t>
            </w:r>
          </w:p>
        </w:tc>
        <w:tc>
          <w:tcPr>
            <w:tcW w:w="1111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3369" w:type="dxa"/>
          </w:tcPr>
          <w:p w:rsidR="00913DF8" w:rsidRPr="00327BA2" w:rsidRDefault="00AE3D41" w:rsidP="000C71E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D35D87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1725" w:type="dxa"/>
            <w:gridSpan w:val="2"/>
          </w:tcPr>
          <w:p w:rsidR="00913DF8" w:rsidRPr="00327BA2" w:rsidRDefault="00D35D8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مجال الزخرفة</w:t>
            </w:r>
          </w:p>
        </w:tc>
        <w:tc>
          <w:tcPr>
            <w:tcW w:w="1111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3369" w:type="dxa"/>
            <w:vAlign w:val="center"/>
          </w:tcPr>
          <w:p w:rsidR="00913DF8" w:rsidRPr="00D35D87" w:rsidRDefault="00D35D87" w:rsidP="00D35D87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التماثل الكلي المتعاكس في زخارفنا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10031"/>
      </w:tblGrid>
      <w:tr w:rsidR="00D35D87" w:rsidTr="00D35D87">
        <w:tc>
          <w:tcPr>
            <w:tcW w:w="389" w:type="dxa"/>
            <w:vAlign w:val="center"/>
          </w:tcPr>
          <w:p w:rsidR="00D35D87" w:rsidRPr="00D35D87" w:rsidRDefault="00D35D87" w:rsidP="00D35D87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D35D87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10031" w:type="dxa"/>
            <w:vAlign w:val="center"/>
          </w:tcPr>
          <w:p w:rsidR="00D35D87" w:rsidRPr="00D35D87" w:rsidRDefault="00D35D87" w:rsidP="00D35D87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تعداد قواعد الزخرفة الإسلامية </w:t>
            </w:r>
          </w:p>
        </w:tc>
      </w:tr>
      <w:tr w:rsidR="00D35D87" w:rsidTr="00D35D87">
        <w:tc>
          <w:tcPr>
            <w:tcW w:w="389" w:type="dxa"/>
            <w:vAlign w:val="center"/>
          </w:tcPr>
          <w:p w:rsidR="00D35D87" w:rsidRPr="00D35D87" w:rsidRDefault="00D35D87" w:rsidP="00D35D87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D35D87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10031" w:type="dxa"/>
            <w:vAlign w:val="center"/>
          </w:tcPr>
          <w:p w:rsidR="00D35D87" w:rsidRPr="00D35D87" w:rsidRDefault="00D35D87" w:rsidP="00D35D87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توضيح نوع التماثل الكلي في الشكل ( أ ) و ( ب) و ( ج ) </w:t>
            </w:r>
          </w:p>
        </w:tc>
      </w:tr>
      <w:tr w:rsidR="00D35D87" w:rsidTr="00D35D87">
        <w:tc>
          <w:tcPr>
            <w:tcW w:w="389" w:type="dxa"/>
            <w:vAlign w:val="center"/>
          </w:tcPr>
          <w:p w:rsidR="00D35D87" w:rsidRPr="00D35D87" w:rsidRDefault="00D35D87" w:rsidP="00D35D87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D35D87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10031" w:type="dxa"/>
            <w:vAlign w:val="center"/>
          </w:tcPr>
          <w:p w:rsidR="00D35D87" w:rsidRPr="00D35D87" w:rsidRDefault="00D35D87" w:rsidP="00D35D87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توضيح جماليات التكرار التماثلي الكلي المتعاكس وأنها تكمن في : التكرار </w:t>
            </w:r>
            <w:r>
              <w:rPr>
                <w:rFonts w:cs="AF_Najed"/>
                <w:sz w:val="28"/>
                <w:szCs w:val="28"/>
                <w:rtl/>
              </w:rPr>
              <w:t>–</w:t>
            </w:r>
            <w:r>
              <w:rPr>
                <w:rFonts w:cs="AF_Najed" w:hint="cs"/>
                <w:sz w:val="28"/>
                <w:szCs w:val="28"/>
                <w:rtl/>
              </w:rPr>
              <w:t xml:space="preserve"> التوازن </w:t>
            </w:r>
            <w:r>
              <w:rPr>
                <w:rFonts w:cs="AF_Najed"/>
                <w:sz w:val="28"/>
                <w:szCs w:val="28"/>
                <w:rtl/>
              </w:rPr>
              <w:t>–</w:t>
            </w:r>
            <w:r>
              <w:rPr>
                <w:rFonts w:cs="AF_Najed" w:hint="cs"/>
                <w:sz w:val="28"/>
                <w:szCs w:val="28"/>
                <w:rtl/>
              </w:rPr>
              <w:t xml:space="preserve"> التنوع في التوزيع وتنظيم الوحدات </w:t>
            </w:r>
            <w:r>
              <w:rPr>
                <w:rFonts w:cs="AF_Najed"/>
                <w:sz w:val="28"/>
                <w:szCs w:val="28"/>
                <w:rtl/>
              </w:rPr>
              <w:t>–</w:t>
            </w:r>
            <w:r>
              <w:rPr>
                <w:rFonts w:cs="AF_Najed" w:hint="cs"/>
                <w:sz w:val="28"/>
                <w:szCs w:val="28"/>
                <w:rtl/>
              </w:rPr>
              <w:t xml:space="preserve"> كل ما سبق</w:t>
            </w:r>
          </w:p>
        </w:tc>
      </w:tr>
      <w:tr w:rsidR="00D35D87" w:rsidTr="00D35D87">
        <w:tc>
          <w:tcPr>
            <w:tcW w:w="389" w:type="dxa"/>
            <w:vAlign w:val="center"/>
          </w:tcPr>
          <w:p w:rsidR="00D35D87" w:rsidRPr="00D35D87" w:rsidRDefault="00D35D87" w:rsidP="00D35D87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D35D87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10031" w:type="dxa"/>
            <w:vAlign w:val="center"/>
          </w:tcPr>
          <w:p w:rsidR="00D35D87" w:rsidRPr="00D35D87" w:rsidRDefault="00D35D87" w:rsidP="00D35D87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تكرار وحدة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زخرفية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متماثلة تماثلاً كلياً متعاكساً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0C71EC"/>
    <w:rsid w:val="00203C06"/>
    <w:rsid w:val="00327BA2"/>
    <w:rsid w:val="003379C6"/>
    <w:rsid w:val="005F186E"/>
    <w:rsid w:val="006A2A04"/>
    <w:rsid w:val="006D5FB2"/>
    <w:rsid w:val="00827F10"/>
    <w:rsid w:val="00913DF8"/>
    <w:rsid w:val="00A60D9C"/>
    <w:rsid w:val="00AE3D41"/>
    <w:rsid w:val="00D35D87"/>
    <w:rsid w:val="00D51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2</cp:revision>
  <cp:lastPrinted>2010-10-16T05:11:00Z</cp:lastPrinted>
  <dcterms:created xsi:type="dcterms:W3CDTF">2010-10-09T04:39:00Z</dcterms:created>
  <dcterms:modified xsi:type="dcterms:W3CDTF">2010-10-17T08:29:00Z</dcterms:modified>
</cp:coreProperties>
</file>